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770c4ca0f34433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23227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MITNICA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764.932,10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884.454,84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763.790,16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1.022.952,31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138.497,47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4.275,94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3.134,00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139.697,00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4457,5</w:t>
            </w:r>
          </w:p>
        </w:tc>
      </w:tr>
    </w:tbl>
    <w:p>
      <w:pPr>
        <w:spacing w:before="0" w:after="0"/>
      </w:pPr>
    </w:p>
    <w:p>
      <w:pPr>
        <w:jc w:val="both"/>
        <w:pStyle w:val="Normal"/>
        <w:spacing w:line="240" w:lineRule="auto"/>
      </w:pPr>
      <w:r>
        <w:rPr>
          <w:sz w:val="24"/>
          <w:rFonts w:ascii="Times New Roman" w:hAnsi="Times New Roman"/>
        </w:rPr>
        <w:t>Manjak prihoda poslovanja  (šifra Y001) odnosi se za neisplaćene plaće za lipanj 2025.g. (redovne plaće zaposlenika, učitelja u produženom boravku i pomoćnika u nastavi).
Manjak prihoda od nefinancijske imovine (šifra Y002) -  odnosi se na nabavku udžbenika za učenike za školsku godinu 2025./2026. 
Prihodi i rashodi su u okvirima planiranih, nešto su povećani izdaci za plaće (povećan broj zaposlenih i povećanje osnovice za plaće). 
</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	Stanje dospjelih obveza na kraju izvještajnog razdoblja (šifre V008+D23+D24 + 'D dio 25,26' + D27)	V007	0,00	
	Stanje nedospjelih obveza na kraju izvještajnog razdoblja (šifre V010 + ND23 + ND24 + 'ND dio 25,26' + ND27)	V009	128.154,76
	Međusobne obveze subjekata općeg proračuna	V010	
23	Obveze za rashode poslovanja	ND23	126.374,03
24	Obveze za nabavu nefinancijske imovine	ND24	611,09
dio 25,26	Obveze za financijsku imovinu	ND dio 25,26	0,00
27	Obveze za predujmove, depozite, jamčevne pologe i tuđe prihode	ND27	1.169,64
Sve obveze podmirujemo u valuti.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aad6417be2043c8" /></Relationships>
</file>